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Студентам необходимо подготовить в электронном виде и разместить в ИОС самотоятльные работы в формате текстового доклада (doc, docx) или мультимединой презентации (pptx, pdf) по теме "Коммуникативные техники лидерства в публичном управлении"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b/>
          <w:bCs/>
          <w:color w:val="2A2513"/>
          <w:sz w:val="21"/>
          <w:szCs w:val="21"/>
        </w:rPr>
        <w:t>Важно!</w:t>
      </w:r>
      <w:r>
        <w:rPr>
          <w:rFonts w:ascii="Georgia" w:hAnsi="Georgia"/>
          <w:color w:val="2A2513"/>
          <w:sz w:val="21"/>
          <w:szCs w:val="21"/>
        </w:rPr>
        <w:t> Формат презентации предпочтителен для отработки навыков подготовки мультимедийной презентации как элемента темы практического занятия. </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b/>
          <w:bCs/>
          <w:color w:val="993300"/>
          <w:sz w:val="21"/>
          <w:szCs w:val="21"/>
        </w:rPr>
        <w:t>Требования к оформлению самостоятельной работы в формате мультимедийной презентации (pptx, pdf):</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Объем работы составляет примерно 6-15 слайдов, подготовленных в любом приложении для создания презентаций </w:t>
      </w:r>
      <w:r>
        <w:rPr>
          <w:rFonts w:ascii="Georgia" w:hAnsi="Georgia"/>
          <w:i/>
          <w:iCs/>
          <w:color w:val="993300"/>
          <w:sz w:val="21"/>
          <w:szCs w:val="21"/>
        </w:rPr>
        <w:t>(ограничения по объему не строгие, но слайды должны в полной пере раскрыть тему)</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На титульном слайде указывается фамилия, имя, отчество автора самостоятельной работы, выбранная студентом тема доклада.</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Далее автор представляет материал, определённый темой.</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На последний слайд презентации помещается список источников, использованных при подготовке презентации.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Материал в презентации должен излагаться последовательно в соответствии с выбранной темой. В презентации должна быть полноценно раскрыта тема, выбранная студентом.</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Отличительной особенностью презентации является возможность представлять материал преимущественно в виде иллюстраций, схем, диаграмм и иных визуальных моделей представления аспектов выбранной теории. Соответственно, текстовое изложение положений теории используется в меньшей степени, скорее в целях описания тех или иных графических моделей. Не следует использовать презентацию, если студент представляет только текстовый материал. Для этого следует выбрать формат текстового доклада.</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Не могут быть зачтены размещенные файлы, содержащие фрагментарный, плохо структурированный текст, без указания ссылок на источники и не раскрывающий тему. </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При невозможности подготовки презентации, студент может подготовить задание в формате текстового доклада</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b/>
          <w:bCs/>
          <w:color w:val="993300"/>
          <w:sz w:val="21"/>
          <w:szCs w:val="21"/>
        </w:rPr>
        <w:t>Требования к оформлению самостоятельной работы в формате текстового доклада:</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Объем работы составляет 4-8 страниц формата А4, подготовленных в редакторе MS Word или ином текстовом редакторе, шрифт Times New Roman, размер шрифта 14, межбуквенный интервал обычный, межстрочный интервал полуторный, параметры страницы – поля по 2 см., ориентация книжная.</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Вверху по центру указывается фамилия, имя, отчество автора самостоятельной работы, выбранная студентом тема доклада жирным шрифтом.</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Затем через один пропущенный интервал располагается текст доклада. После него через один интервал помещается библиографический список.</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t>Материал в докладе должен излагаться последовательно в соответствии с выбранной темой. Результатом работы должно быть полноценное раскрытие всех аспектов, предусмотренных формулировкой темы, выбранной студентом. Не могут быть зачтены размещенные файлы, содержащие фрагментарный, плохо структурированный текст, без указания ссылок на источники и не раскрывающий тему. </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993300"/>
          <w:sz w:val="21"/>
          <w:szCs w:val="21"/>
        </w:rPr>
        <w:lastRenderedPageBreak/>
        <w:t>Ссылки на источники данных, использованных при написании работы, указываются в подстрочном формате, т.е. размещаются внизу страницы и отделяются от текста короткой прямой чертой (с использованием встроенной функции вставки сносок текстового редактора).</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i/>
          <w:iCs/>
          <w:color w:val="2A2513"/>
          <w:sz w:val="21"/>
          <w:szCs w:val="21"/>
        </w:rPr>
        <w:t> </w:t>
      </w:r>
      <w:r>
        <w:rPr>
          <w:rFonts w:ascii="Georgia" w:hAnsi="Georgia"/>
          <w:i/>
          <w:iCs/>
          <w:color w:val="2A2513"/>
          <w:sz w:val="20"/>
          <w:szCs w:val="20"/>
        </w:rPr>
        <w:t>Для подготовки задания студенту следует выбрать одну тему из списка, представленного ниже</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b/>
          <w:bCs/>
          <w:i/>
          <w:iCs/>
          <w:color w:val="2A2513"/>
          <w:sz w:val="21"/>
          <w:szCs w:val="21"/>
        </w:rPr>
        <w:t>Перечень тем для подготовки самостоятельной работы: </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      Параметры эффективной устной вербальной коммуникации.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2.     Особенности и проблемы коммуникации в системе государственного и муниципального управления.</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3.     Письменная коммуникация в деятельности государственных и муниципальных служащих: особенности и критерии эффективности.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4.     Особенности и правила эффективной деловой письменной коммуникации посредством электронной почты.</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5.     Использование средств невербальной коммуникации в процессе лидерского взаимодействия.</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6.     Особенности и параметры эффективности коммуникации на различных уровнях коммуникации (межличностная коммуникация, коммуникация в малых группах, массовая коммуникация).</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7.     Умение объяснять как важный навык лидера. Навыки эффективного объяснения сложного материала. Факторы успеха и причины неудач в объяснении.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8.     Критерии успешности публичных выступлений и презентаций.</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9.     Этапы и структура публичных выступлений. Принципы и навыки подготовки и проведения презентации.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10.  Мультимедийная презентация: правила подготовки и типичные ошибки.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11.   Приемы и тактики повышения интереса аудитории к спикеру и содержанию речи.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12.   Техника «Elevator pitch» в публичных презентациях.</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13.   Сторителлинг в публичных выступлениях и презентациях: сущность, роль и принципы применения.</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14.   Принципы работы с вопросами аудитории в процессе публичных выступлений.</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15.   Особенности управления коммуникацией в пространстве социальных сетей.</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16.   Форматы участия органов публичной власти и их должностных лиц в социальных сетях. Особенности передачи и восприятия информации в социальных сетях.</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17.   Система межведомственной взаимодействия в системе государственного и муниципального управления: технологии, современные вызовы и приоритеты</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18.   Совершенствование технологий коммуникации между государством (органами власти) и обществом. Концепция открытого государства и открытых данных.</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i/>
          <w:iCs/>
          <w:color w:val="2A2513"/>
          <w:sz w:val="21"/>
          <w:szCs w:val="21"/>
        </w:rPr>
        <w:t>19.   </w:t>
      </w:r>
      <w:r>
        <w:rPr>
          <w:rFonts w:ascii="Georgia" w:hAnsi="Georgia"/>
          <w:color w:val="2A2513"/>
          <w:sz w:val="21"/>
          <w:szCs w:val="21"/>
        </w:rPr>
        <w:t>Коммуникативная этика органов власти и должностных лиц. Требования, этические стандарты и правила деловой коммуникации государственных служащих (в публичном пространстве, в соцсетях, во взаимодействии с гражданами). </w:t>
      </w:r>
      <w:r>
        <w:rPr>
          <w:rFonts w:ascii="Georgia" w:hAnsi="Georgia"/>
          <w:i/>
          <w:iCs/>
          <w:color w:val="2A2513"/>
          <w:sz w:val="21"/>
          <w:szCs w:val="21"/>
        </w:rPr>
        <w:t xml:space="preserve">Один из примеров, рекомендации </w:t>
      </w:r>
      <w:r>
        <w:rPr>
          <w:rFonts w:ascii="Georgia" w:hAnsi="Georgia"/>
          <w:i/>
          <w:iCs/>
          <w:color w:val="2A2513"/>
          <w:sz w:val="21"/>
          <w:szCs w:val="21"/>
        </w:rPr>
        <w:lastRenderedPageBreak/>
        <w:t>по недопущению конкретных высказываний, которые могут быть восприняты окружающими как согласие принять взятку или как просьба о даче взятки</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20.  Коммуникативные компетенции государственных служащих:</w:t>
      </w:r>
      <w:r>
        <w:rPr>
          <w:rFonts w:ascii="Georgia" w:hAnsi="Georgia"/>
          <w:color w:val="2A2513"/>
          <w:sz w:val="21"/>
          <w:szCs w:val="21"/>
        </w:rPr>
        <w:br/>
        <w:t>- примеры действующих требований (приказы органов власти о квалификационных требованиях к знаниям и навыкам),</w:t>
      </w:r>
      <w:r>
        <w:rPr>
          <w:rFonts w:ascii="Georgia" w:hAnsi="Georgia"/>
          <w:color w:val="2A2513"/>
          <w:sz w:val="21"/>
          <w:szCs w:val="21"/>
        </w:rPr>
        <w:br/>
        <w:t>- новые подходы и модели коммуникативных компетенций служащих в России и за рубежом (к примеру, в России методинструментарий Минтруда о квалификационных требованиях, зарубежные модели поискать в переводных публикациях и по ключевым словам (soft skills of public servants (officials), также по современным программам подготовки госслужащих (типа Лидеры России, Управленческое мастерство)</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21.      Деловые совещания в органах власти: понятие, классификация, особенности конкретных видов, принципы эффективной организации в зависимости от типа совещания</w:t>
      </w:r>
    </w:p>
    <w:p w:rsidR="00142DF0" w:rsidRDefault="00142DF0" w:rsidP="00142DF0">
      <w:pPr>
        <w:pStyle w:val="a3"/>
        <w:shd w:val="clear" w:color="auto" w:fill="FFFFFF"/>
        <w:spacing w:before="0" w:beforeAutospacing="0" w:after="240" w:afterAutospacing="0"/>
        <w:rPr>
          <w:rFonts w:ascii="Georgia" w:hAnsi="Georgia"/>
          <w:color w:val="2A2513"/>
          <w:sz w:val="21"/>
          <w:szCs w:val="21"/>
        </w:rPr>
      </w:pPr>
      <w:r>
        <w:rPr>
          <w:rFonts w:ascii="Georgia" w:hAnsi="Georgia"/>
          <w:color w:val="2A2513"/>
          <w:sz w:val="21"/>
          <w:szCs w:val="21"/>
        </w:rPr>
        <w:t>По ссылке "Лекционный и иной теоретический материал" представлен разный материал, прямо или косвенно связанный с данной тематикой. Но, вероятно, понадобится самосттоятельно искать дополнительный материал, в частности, в интернет-пространстве. При этом следует избегать студенческих работ, размещенных в сети (они не могут быть официальным источником для подготовки вашей работы). Ссылаться можно на профессиональные, научные интернет-ресурсы, научные статьи, аналитические доклады, материалы диссертаций, монографии, книги, правовые акты, методические документы.</w:t>
      </w:r>
    </w:p>
    <w:p w:rsidR="002B4B72" w:rsidRDefault="00142DF0">
      <w:bookmarkStart w:id="0" w:name="_GoBack"/>
      <w:bookmarkEnd w:id="0"/>
    </w:p>
    <w:sectPr w:rsidR="002B4B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A28"/>
    <w:rsid w:val="00115587"/>
    <w:rsid w:val="00142DF0"/>
    <w:rsid w:val="001B7030"/>
    <w:rsid w:val="00FC0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2D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2D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70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2021-11-23T07:12:00Z</dcterms:created>
  <dcterms:modified xsi:type="dcterms:W3CDTF">2021-11-23T07:12:00Z</dcterms:modified>
</cp:coreProperties>
</file>